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2966" w14:textId="77777777" w:rsidR="00AD3745" w:rsidRDefault="00AD3745">
      <w:pPr>
        <w:spacing w:line="260" w:lineRule="exact"/>
      </w:pPr>
      <w:bookmarkStart w:id="0" w:name="_GoBack"/>
      <w:bookmarkEnd w:id="0"/>
    </w:p>
    <w:p w14:paraId="1F8B2967" w14:textId="77777777" w:rsidR="00AD3745" w:rsidRDefault="00AD3745">
      <w:pPr>
        <w:spacing w:line="260" w:lineRule="exact"/>
      </w:pPr>
    </w:p>
    <w:p w14:paraId="1F8B2968" w14:textId="77777777" w:rsidR="00AD3745" w:rsidRDefault="00AD3745">
      <w:pPr>
        <w:spacing w:line="260" w:lineRule="exact"/>
      </w:pPr>
    </w:p>
    <w:p w14:paraId="1F8B2969" w14:textId="77777777" w:rsidR="00AD3745" w:rsidRDefault="00AD3745">
      <w:pPr>
        <w:spacing w:line="260" w:lineRule="exact"/>
      </w:pPr>
    </w:p>
    <w:p w14:paraId="1F8B296D" w14:textId="7888A798" w:rsidR="00F71398" w:rsidRPr="00F71398" w:rsidRDefault="00F71398" w:rsidP="00523FDA">
      <w:pPr>
        <w:spacing w:line="260" w:lineRule="exact"/>
        <w:rPr>
          <w:vanish/>
        </w:rPr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AD3745" w14:paraId="1F8B2974" w14:textId="77777777" w:rsidTr="007A0845">
        <w:trPr>
          <w:trHeight w:hRule="exact" w:val="1726"/>
        </w:trPr>
        <w:tc>
          <w:tcPr>
            <w:tcW w:w="9311" w:type="dxa"/>
            <w:vAlign w:val="bottom"/>
          </w:tcPr>
          <w:p w14:paraId="1F8B296E" w14:textId="77777777" w:rsidR="00B049E0" w:rsidRPr="00703AA7" w:rsidRDefault="00B049E0" w:rsidP="00977D26">
            <w:pPr>
              <w:pStyle w:val="Adressepieddepage"/>
              <w:framePr w:w="6804" w:wrap="notBeside" w:y="14380"/>
              <w:rPr>
                <w:b/>
                <w:color w:val="00CCFF"/>
                <w:sz w:val="18"/>
                <w:szCs w:val="18"/>
              </w:rPr>
            </w:pPr>
          </w:p>
          <w:p w14:paraId="1F8B296F" w14:textId="77777777" w:rsidR="00977D26" w:rsidRDefault="00977D26" w:rsidP="00977D26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lang w:bidi="x-none"/>
              </w:rPr>
            </w:pPr>
            <w:r w:rsidRPr="00897CDD">
              <w:rPr>
                <w:color w:val="00235D"/>
                <w:sz w:val="16"/>
                <w:lang w:bidi="x-none"/>
              </w:rPr>
              <w:t xml:space="preserve">Siège social : 90, boulevard Pasteur - 75015 Paris - France </w:t>
            </w:r>
          </w:p>
          <w:p w14:paraId="1F8B2970" w14:textId="7B4FBD3D" w:rsidR="00977D26" w:rsidRPr="00897CDD" w:rsidRDefault="00977D26" w:rsidP="00977D26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lang w:bidi="x-none"/>
              </w:rPr>
            </w:pPr>
            <w:r w:rsidRPr="00897CDD">
              <w:rPr>
                <w:color w:val="00235D"/>
                <w:sz w:val="16"/>
                <w:lang w:bidi="x-none"/>
              </w:rPr>
              <w:t xml:space="preserve">Adresse postale : </w:t>
            </w:r>
            <w:proofErr w:type="spellStart"/>
            <w:r w:rsidRPr="00897CDD">
              <w:rPr>
                <w:color w:val="00235D"/>
                <w:sz w:val="16"/>
                <w:lang w:bidi="x-none"/>
              </w:rPr>
              <w:t>Amundi</w:t>
            </w:r>
            <w:proofErr w:type="spellEnd"/>
            <w:r w:rsidRPr="00897CDD">
              <w:rPr>
                <w:color w:val="00235D"/>
                <w:sz w:val="16"/>
                <w:lang w:bidi="x-none"/>
              </w:rPr>
              <w:t xml:space="preserve"> </w:t>
            </w:r>
            <w:proofErr w:type="spellStart"/>
            <w:r w:rsidR="009016C3">
              <w:rPr>
                <w:color w:val="00235D"/>
                <w:sz w:val="16"/>
                <w:lang w:bidi="x-none"/>
              </w:rPr>
              <w:t>Asset</w:t>
            </w:r>
            <w:proofErr w:type="spellEnd"/>
            <w:r w:rsidR="009016C3">
              <w:rPr>
                <w:color w:val="00235D"/>
                <w:sz w:val="16"/>
                <w:lang w:bidi="x-none"/>
              </w:rPr>
              <w:t xml:space="preserve"> Management</w:t>
            </w:r>
            <w:r w:rsidRPr="00897CDD">
              <w:rPr>
                <w:color w:val="00235D"/>
                <w:sz w:val="16"/>
                <w:lang w:bidi="x-none"/>
              </w:rPr>
              <w:t>- 90, boulevard Pasteur - CS 21564 - 75730 Paris Cedex 15 - France</w:t>
            </w:r>
          </w:p>
          <w:p w14:paraId="1F8B2971" w14:textId="77777777" w:rsidR="00977D26" w:rsidRPr="000E6929" w:rsidRDefault="00977D26" w:rsidP="00977D26">
            <w:pPr>
              <w:pStyle w:val="Adressepieddepage"/>
              <w:framePr w:w="6804" w:wrap="notBeside" w:y="14380"/>
            </w:pPr>
            <w:r w:rsidRPr="00897CDD">
              <w:t>Tél. : +33 (0)1 76 33 30 30 - amundi.com</w:t>
            </w:r>
          </w:p>
          <w:p w14:paraId="1F8B2972" w14:textId="77777777" w:rsidR="00977D26" w:rsidRPr="000E6929" w:rsidRDefault="00977D26" w:rsidP="00977D26">
            <w:pPr>
              <w:framePr w:w="6804" w:h="57" w:wrap="notBeside" w:vAnchor="page" w:hAnchor="page" w:x="681" w:y="14380" w:anchorLock="1"/>
              <w:spacing w:line="60" w:lineRule="exact"/>
              <w:rPr>
                <w:color w:val="00235D"/>
                <w:lang w:bidi="x-none"/>
              </w:rPr>
            </w:pPr>
          </w:p>
          <w:p w14:paraId="1F8B2973" w14:textId="029DC10F" w:rsidR="00AD3745" w:rsidRPr="00703AA7" w:rsidRDefault="00977D26" w:rsidP="00914592">
            <w:pPr>
              <w:pStyle w:val="Capitaletrfrences"/>
              <w:framePr w:w="6804" w:wrap="notBeside" w:y="14380"/>
            </w:pPr>
            <w:r w:rsidRPr="00897CDD">
              <w:t xml:space="preserve">Société </w:t>
            </w:r>
            <w:r w:rsidR="00914592">
              <w:t>par actions Simplifiée</w:t>
            </w:r>
            <w:r w:rsidR="00914592" w:rsidRPr="00897CDD">
              <w:t xml:space="preserve"> </w:t>
            </w:r>
            <w:r w:rsidRPr="00897CDD">
              <w:t xml:space="preserve">au capital de </w:t>
            </w:r>
            <w:r w:rsidR="007A0845">
              <w:t>1 086 262 605</w:t>
            </w:r>
            <w:r w:rsidRPr="00897CDD">
              <w:t xml:space="preserve"> euros - 437 574 452 </w:t>
            </w:r>
            <w:r>
              <w:t xml:space="preserve">RCS Paris - Société de Gestion </w:t>
            </w:r>
            <w:r>
              <w:br/>
            </w:r>
            <w:r w:rsidRPr="00897CDD">
              <w:t>de Portefeuille agréée par l’AMF (Autorité des Marchés Financiers) n° GP 04000036</w:t>
            </w:r>
            <w:r w:rsidRPr="000E6929"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1" w:name="Texte43"/>
            <w:r w:rsidRPr="000E6929">
              <w:instrText xml:space="preserve"> FORMTEXT </w:instrText>
            </w:r>
            <w:r w:rsidRPr="000E6929">
              <w:fldChar w:fldCharType="separate"/>
            </w:r>
            <w:r>
              <w:rPr>
                <w:noProof/>
              </w:rPr>
              <w:t>.</w:t>
            </w:r>
            <w:r w:rsidRPr="000E6929">
              <w:fldChar w:fldCharType="end"/>
            </w:r>
            <w:bookmarkEnd w:id="1"/>
          </w:p>
        </w:tc>
      </w:tr>
    </w:tbl>
    <w:p w14:paraId="1F8B2975" w14:textId="2D92668C" w:rsidR="00AD3745" w:rsidRDefault="00EC7843">
      <w:pPr>
        <w:spacing w:line="260" w:lineRule="exact"/>
      </w:pPr>
      <w:r>
        <w:rPr>
          <w:rFonts w:ascii="Calibri" w:eastAsia="Calibri" w:hAnsi="Calibr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2985" wp14:editId="089F16CF">
                <wp:simplePos x="0" y="0"/>
                <wp:positionH relativeFrom="column">
                  <wp:posOffset>-1389380</wp:posOffset>
                </wp:positionH>
                <wp:positionV relativeFrom="paragraph">
                  <wp:posOffset>130175</wp:posOffset>
                </wp:positionV>
                <wp:extent cx="673417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B29B8" w14:textId="77777777" w:rsidR="001947A1" w:rsidRPr="00EC7843" w:rsidRDefault="001947A1" w:rsidP="001947A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C7843">
                              <w:rPr>
                                <w:sz w:val="44"/>
                              </w:rPr>
                              <w:t>Avis Financier</w:t>
                            </w:r>
                          </w:p>
                          <w:p w14:paraId="671D9403" w14:textId="564CC482" w:rsidR="00591CA7" w:rsidRPr="00EC7843" w:rsidRDefault="00FB3736" w:rsidP="00591C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LCL </w:t>
                            </w:r>
                            <w:r w:rsidR="001C49A2">
                              <w:rPr>
                                <w:sz w:val="44"/>
                              </w:rPr>
                              <w:t>OBLIGATIONS EURO</w:t>
                            </w:r>
                          </w:p>
                          <w:p w14:paraId="2E008B9E" w14:textId="26536C61" w:rsidR="000A3244" w:rsidRPr="00EC7843" w:rsidRDefault="000A3244" w:rsidP="00591CA7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1F8B29B9" w14:textId="17B52E40" w:rsidR="001947A1" w:rsidRPr="00EC7843" w:rsidRDefault="001947A1" w:rsidP="00BF4E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4pt;margin-top:10.25pt;width:530.2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" fillcolor="white [3201]" strokeweight=".5pt">
                <v:textbox>
                  <w:txbxContent>
                    <w:p w14:paraId="1F8B29B8" w14:textId="77777777" w:rsidR="001947A1" w:rsidRPr="00EC7843" w:rsidRDefault="001947A1" w:rsidP="001947A1">
                      <w:pPr>
                        <w:jc w:val="center"/>
                        <w:rPr>
                          <w:sz w:val="44"/>
                        </w:rPr>
                      </w:pPr>
                      <w:r w:rsidRPr="00EC7843">
                        <w:rPr>
                          <w:sz w:val="44"/>
                        </w:rPr>
                        <w:t>Avis Financier</w:t>
                      </w:r>
                    </w:p>
                    <w:p w14:paraId="671D9403" w14:textId="564CC482" w:rsidR="00591CA7" w:rsidRPr="00EC7843" w:rsidRDefault="00FB3736" w:rsidP="00591CA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LCL </w:t>
                      </w:r>
                      <w:r w:rsidR="001C49A2">
                        <w:rPr>
                          <w:sz w:val="44"/>
                        </w:rPr>
                        <w:t>OBLIGATIONS EURO</w:t>
                      </w:r>
                    </w:p>
                    <w:p w14:paraId="2E008B9E" w14:textId="26536C61" w:rsidR="000A3244" w:rsidRPr="00EC7843" w:rsidRDefault="000A3244" w:rsidP="00591CA7">
                      <w:pPr>
                        <w:rPr>
                          <w:sz w:val="44"/>
                        </w:rPr>
                      </w:pPr>
                    </w:p>
                    <w:p w14:paraId="1F8B29B9" w14:textId="17B52E40" w:rsidR="001947A1" w:rsidRPr="00EC7843" w:rsidRDefault="001947A1" w:rsidP="00BF4E69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B2976" w14:textId="77777777" w:rsidR="00AD3745" w:rsidRDefault="00AD3745"/>
    <w:p w14:paraId="1F8B2977" w14:textId="77777777" w:rsidR="001947A1" w:rsidRDefault="001947A1"/>
    <w:p w14:paraId="1F8B2978" w14:textId="77777777" w:rsidR="001947A1" w:rsidRDefault="001947A1">
      <w:pPr>
        <w:sectPr w:rsidR="001947A1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680" w:right="680" w:bottom="851" w:left="2863" w:header="0" w:footer="0" w:gutter="0"/>
          <w:cols w:space="709"/>
          <w:titlePg/>
        </w:sectPr>
      </w:pPr>
    </w:p>
    <w:p w14:paraId="1F8B2979" w14:textId="490D40A9" w:rsidR="00225644" w:rsidRDefault="00225644">
      <w:pPr>
        <w:spacing w:line="240" w:lineRule="auto"/>
      </w:pPr>
    </w:p>
    <w:p w14:paraId="1F8B2981" w14:textId="7E30ECBC" w:rsidR="00AD3745" w:rsidRDefault="00AD3745"/>
    <w:p w14:paraId="1F8B2982" w14:textId="6143B7E8" w:rsidR="001947A1" w:rsidRDefault="001947A1" w:rsidP="001947A1"/>
    <w:p w14:paraId="1F8B2983" w14:textId="237DB63B" w:rsidR="00D86184" w:rsidRDefault="00D86184"/>
    <w:p w14:paraId="1F8B2984" w14:textId="28C4CA54" w:rsidR="00D86184" w:rsidRDefault="009A520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B2987" wp14:editId="64403A7F">
                <wp:simplePos x="0" y="0"/>
                <wp:positionH relativeFrom="column">
                  <wp:posOffset>-1395311</wp:posOffset>
                </wp:positionH>
                <wp:positionV relativeFrom="paragraph">
                  <wp:posOffset>157552</wp:posOffset>
                </wp:positionV>
                <wp:extent cx="6731635" cy="7021902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7021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3821" w14:textId="07638EA9" w:rsidR="001C49A2" w:rsidRDefault="00591CA7" w:rsidP="001C49A2">
                            <w:pPr>
                              <w:jc w:val="both"/>
                              <w:rPr>
                                <w:rFonts w:asciiTheme="majorHAnsi" w:hAnsiTheme="majorHAnsi" w:cs="Calibri"/>
                              </w:rPr>
                            </w:pPr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 xml:space="preserve">Les </w:t>
                            </w:r>
                            <w:r w:rsidR="001C49A2">
                              <w:rPr>
                                <w:rFonts w:asciiTheme="majorHAnsi" w:hAnsiTheme="majorHAnsi" w:cstheme="majorHAnsi"/>
                              </w:rPr>
                              <w:t>actionnaires de la SICAV</w:t>
                            </w:r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FB3736" w:rsidRPr="00FB3736">
                              <w:rPr>
                                <w:rFonts w:asciiTheme="majorHAnsi" w:hAnsiTheme="majorHAnsi" w:cstheme="majorHAnsi"/>
                              </w:rPr>
                              <w:t xml:space="preserve">LCL </w:t>
                            </w:r>
                            <w:r w:rsidR="001C49A2">
                              <w:rPr>
                                <w:rFonts w:asciiTheme="majorHAnsi" w:hAnsiTheme="majorHAnsi" w:cstheme="majorHAnsi"/>
                              </w:rPr>
                              <w:t>OBLIGATIONS EURO</w:t>
                            </w:r>
                            <w:r w:rsidR="00590B01" w:rsidRPr="00FB373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>(</w:t>
                            </w:r>
                            <w:hyperlink r:id="rId15" w:tgtFrame="_blank" w:history="1">
                              <w:r w:rsidR="001C49A2" w:rsidRPr="001C49A2">
                                <w:rPr>
                                  <w:rFonts w:asciiTheme="majorHAnsi" w:hAnsiTheme="majorHAnsi" w:cstheme="majorHAnsi"/>
                                </w:rPr>
                                <w:t>FR0000018855</w:t>
                              </w:r>
                            </w:hyperlink>
                            <w:r w:rsidR="00FB3736" w:rsidRPr="001C49A2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 xml:space="preserve">géré par la société de gestion </w:t>
                            </w:r>
                            <w:proofErr w:type="spellStart"/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>Amundi</w:t>
                            </w:r>
                            <w:proofErr w:type="spellEnd"/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>Asset</w:t>
                            </w:r>
                            <w:proofErr w:type="spellEnd"/>
                            <w:r w:rsidRPr="00FB3736">
                              <w:rPr>
                                <w:rFonts w:asciiTheme="majorHAnsi" w:hAnsiTheme="majorHAnsi" w:cstheme="majorHAnsi"/>
                              </w:rPr>
                              <w:t xml:space="preserve"> Management, </w:t>
                            </w:r>
                            <w:r w:rsidR="001C49A2" w:rsidRPr="00C23304">
                              <w:rPr>
                                <w:rFonts w:asciiTheme="majorHAnsi" w:hAnsiTheme="majorHAnsi" w:cs="Calibri"/>
                              </w:rPr>
                              <w:t>sont informés de</w:t>
                            </w:r>
                            <w:r w:rsidR="001C49A2">
                              <w:rPr>
                                <w:rFonts w:asciiTheme="majorHAnsi" w:hAnsiTheme="majorHAnsi" w:cs="Calibri"/>
                              </w:rPr>
                              <w:t xml:space="preserve">s </w:t>
                            </w:r>
                            <w:r w:rsidR="001C49A2" w:rsidRPr="00C23304">
                              <w:rPr>
                                <w:rFonts w:asciiTheme="majorHAnsi" w:hAnsiTheme="majorHAnsi" w:cs="Calibri"/>
                              </w:rPr>
                              <w:t>modification</w:t>
                            </w:r>
                            <w:r w:rsidR="001C49A2">
                              <w:rPr>
                                <w:rFonts w:asciiTheme="majorHAnsi" w:hAnsiTheme="majorHAnsi" w:cs="Calibri"/>
                              </w:rPr>
                              <w:t>s</w:t>
                            </w:r>
                            <w:r w:rsidR="001C49A2" w:rsidRPr="00C23304">
                              <w:rPr>
                                <w:rFonts w:asciiTheme="majorHAnsi" w:hAnsiTheme="majorHAnsi" w:cs="Calibri"/>
                              </w:rPr>
                              <w:t xml:space="preserve"> </w:t>
                            </w:r>
                            <w:r w:rsidR="001C49A2">
                              <w:rPr>
                                <w:rFonts w:asciiTheme="majorHAnsi" w:hAnsiTheme="majorHAnsi" w:cs="Calibri"/>
                              </w:rPr>
                              <w:t xml:space="preserve">suivantes à compter </w:t>
                            </w:r>
                            <w:r w:rsidR="001C49A2" w:rsidRPr="001E5C16">
                              <w:rPr>
                                <w:rFonts w:asciiTheme="majorHAnsi" w:hAnsiTheme="majorHAnsi" w:cs="Calibri"/>
                              </w:rPr>
                              <w:t xml:space="preserve">du </w:t>
                            </w:r>
                            <w:r w:rsidR="00486F2B">
                              <w:rPr>
                                <w:rFonts w:asciiTheme="majorHAnsi" w:hAnsiTheme="majorHAnsi" w:cs="Calibri"/>
                                <w:highlight w:val="yellow"/>
                              </w:rPr>
                              <w:t>05/07</w:t>
                            </w:r>
                            <w:r w:rsidR="001C49A2" w:rsidRPr="001C49A2">
                              <w:rPr>
                                <w:rFonts w:asciiTheme="majorHAnsi" w:hAnsiTheme="majorHAnsi" w:cs="Calibri"/>
                                <w:highlight w:val="yellow"/>
                              </w:rPr>
                              <w:t>/2019</w:t>
                            </w:r>
                            <w:r w:rsidR="001C49A2">
                              <w:rPr>
                                <w:rFonts w:asciiTheme="majorHAnsi" w:hAnsiTheme="majorHAnsi" w:cs="Calibri"/>
                              </w:rPr>
                              <w:t xml:space="preserve"> : </w:t>
                            </w:r>
                          </w:p>
                          <w:p w14:paraId="3FDCDBC6" w14:textId="77777777" w:rsidR="001C49A2" w:rsidRDefault="001C49A2" w:rsidP="00FB373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344B22A" w14:textId="052E80A2" w:rsidR="00FB3736" w:rsidRPr="00FB3736" w:rsidRDefault="001C49A2" w:rsidP="00FB373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 compter de cette date, la méthode de calcul du ratio du risque global changera. La méthode de l’Engagement sera adoptée en lieu et place de la méthode de la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relative.</w:t>
                            </w:r>
                          </w:p>
                          <w:p w14:paraId="1926AACC" w14:textId="77777777" w:rsidR="007571B9" w:rsidRPr="00FB3736" w:rsidRDefault="007571B9" w:rsidP="00C2330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1268AFDA" w14:textId="4B946B01" w:rsidR="000A3244" w:rsidRPr="00FB3736" w:rsidRDefault="000A3244" w:rsidP="00C2330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Les autres caractéristiques </w:t>
                            </w:r>
                            <w:r w:rsidR="001C49A2">
                              <w:rPr>
                                <w:rFonts w:asciiTheme="majorHAnsi" w:eastAsia="Calibri" w:hAnsiTheme="majorHAnsi" w:cstheme="majorHAnsi"/>
                              </w:rPr>
                              <w:t>de la SICAV</w:t>
                            </w:r>
                            <w:r w:rsidR="00FB3736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="001C49A2" w:rsidRPr="00FB3736">
                              <w:rPr>
                                <w:rFonts w:asciiTheme="majorHAnsi" w:hAnsiTheme="majorHAnsi" w:cstheme="majorHAnsi"/>
                              </w:rPr>
                              <w:t xml:space="preserve">LCL </w:t>
                            </w:r>
                            <w:r w:rsidR="001C49A2">
                              <w:rPr>
                                <w:rFonts w:asciiTheme="majorHAnsi" w:hAnsiTheme="majorHAnsi" w:cstheme="majorHAnsi"/>
                              </w:rPr>
                              <w:t>OBLIGATIONS EURO</w:t>
                            </w:r>
                            <w:r w:rsidR="001C49A2" w:rsidRPr="00FB373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>demeurent inchangées.</w:t>
                            </w:r>
                          </w:p>
                          <w:p w14:paraId="38B14D67" w14:textId="77777777" w:rsidR="0018482A" w:rsidRPr="00FB3736" w:rsidRDefault="0018482A" w:rsidP="00C2330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05648060" w14:textId="310B6187" w:rsidR="000A3244" w:rsidRPr="00FB3736" w:rsidRDefault="000A3244" w:rsidP="00C23304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>Ce</w:t>
                            </w:r>
                            <w:r w:rsidR="007571B9" w:rsidRPr="00FB3736">
                              <w:rPr>
                                <w:rFonts w:asciiTheme="majorHAnsi" w:eastAsia="Calibri" w:hAnsiTheme="majorHAnsi" w:cstheme="majorHAnsi"/>
                              </w:rPr>
                              <w:t>s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changement</w:t>
                            </w:r>
                            <w:r w:rsidR="007571B9" w:rsidRPr="00FB3736">
                              <w:rPr>
                                <w:rFonts w:asciiTheme="majorHAnsi" w:eastAsia="Calibri" w:hAnsiTheme="majorHAnsi" w:cstheme="majorHAnsi"/>
                              </w:rPr>
                              <w:t>s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n’implique</w:t>
                            </w:r>
                            <w:r w:rsidR="007571B9" w:rsidRPr="00FB3736">
                              <w:rPr>
                                <w:rFonts w:asciiTheme="majorHAnsi" w:eastAsia="Calibri" w:hAnsiTheme="majorHAnsi" w:cstheme="majorHAnsi"/>
                              </w:rPr>
                              <w:t>nt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aucune démarche spécifique de votre part et </w:t>
                            </w:r>
                            <w:r w:rsidR="007571B9" w:rsidRPr="00FB3736">
                              <w:rPr>
                                <w:rFonts w:asciiTheme="majorHAnsi" w:hAnsiTheme="majorHAnsi" w:cstheme="majorHAnsi"/>
                              </w:rPr>
                              <w:t xml:space="preserve">n’ont </w:t>
                            </w:r>
                            <w:r w:rsidR="0072128F" w:rsidRPr="00FB3736">
                              <w:rPr>
                                <w:rFonts w:asciiTheme="majorHAnsi" w:hAnsiTheme="majorHAnsi" w:cstheme="majorHAnsi"/>
                              </w:rPr>
                              <w:t>aucun impact sur votre OPCVM que ce soit en termes d’objectif de gestion, de profil rendement/risque</w:t>
                            </w:r>
                            <w:r w:rsidR="005551B7" w:rsidRPr="00FB3736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04F33CA4" w14:textId="77777777" w:rsidR="0018482A" w:rsidRPr="00FB3736" w:rsidRDefault="0018482A" w:rsidP="00C2330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67B1EB76" w14:textId="7C8BCFB3" w:rsidR="000A3244" w:rsidRPr="00FB3736" w:rsidRDefault="000A3244" w:rsidP="00C23304">
                            <w:pPr>
                              <w:autoSpaceDE w:val="0"/>
                              <w:autoSpaceDN w:val="0"/>
                              <w:adjustRightInd w:val="0"/>
                              <w:spacing w:line="22" w:lineRule="atLeast"/>
                              <w:jc w:val="both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Le Document d’Informations Clés pour l’Investisseur (DICI) est disponible sur le site internet </w:t>
                            </w:r>
                            <w:r w:rsidR="00FB3736" w:rsidRPr="00FB3736">
                              <w:rPr>
                                <w:rFonts w:asciiTheme="majorHAnsi" w:hAnsiTheme="majorHAnsi" w:cstheme="majorHAnsi"/>
                              </w:rPr>
                              <w:t>www.sicavetfcp.lcl.fr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. </w:t>
                            </w:r>
                            <w:r w:rsidR="00D70AA3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>Le prospectus</w:t>
                            </w:r>
                            <w:r w:rsidR="001C49A2">
                              <w:rPr>
                                <w:rFonts w:asciiTheme="majorHAnsi" w:eastAsia="Calibri" w:hAnsiTheme="majorHAnsi" w:cstheme="majorHAnsi"/>
                              </w:rPr>
                              <w:t xml:space="preserve"> et le règlement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="00FB3736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de </w:t>
                            </w:r>
                            <w:r w:rsidR="001C49A2" w:rsidRPr="00FB3736">
                              <w:rPr>
                                <w:rFonts w:asciiTheme="majorHAnsi" w:hAnsiTheme="majorHAnsi" w:cstheme="majorHAnsi"/>
                              </w:rPr>
                              <w:t xml:space="preserve">LCL </w:t>
                            </w:r>
                            <w:r w:rsidR="001C49A2">
                              <w:rPr>
                                <w:rFonts w:asciiTheme="majorHAnsi" w:hAnsiTheme="majorHAnsi" w:cstheme="majorHAnsi"/>
                              </w:rPr>
                              <w:t>OBLIGATIONS EURO</w:t>
                            </w:r>
                            <w:r w:rsidR="00FB3736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>vous ser</w:t>
                            </w:r>
                            <w:r w:rsidR="00FB3736" w:rsidRPr="00FB3736">
                              <w:rPr>
                                <w:rFonts w:asciiTheme="majorHAnsi" w:eastAsia="Calibri" w:hAnsiTheme="majorHAnsi" w:cstheme="majorHAnsi"/>
                              </w:rPr>
                              <w:t>ont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adressé</w:t>
                            </w:r>
                            <w:r w:rsidR="00FB3736" w:rsidRPr="00FB3736">
                              <w:rPr>
                                <w:rFonts w:asciiTheme="majorHAnsi" w:eastAsia="Calibri" w:hAnsiTheme="majorHAnsi" w:cstheme="majorHAnsi"/>
                              </w:rPr>
                              <w:t>s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sur simple demande écrite à l’adresse suivante : AMUNDI ASSET MANAGEMENT </w:t>
                            </w:r>
                            <w:r w:rsidR="0049166A">
                              <w:rPr>
                                <w:rFonts w:asciiTheme="majorHAnsi" w:eastAsia="Calibri" w:hAnsiTheme="majorHAnsi" w:cstheme="majorHAnsi"/>
                              </w:rPr>
                              <w:t>-</w:t>
                            </w:r>
                            <w:r w:rsidR="00DD6942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="00FB3736" w:rsidRPr="00FB3736">
                              <w:rPr>
                                <w:rFonts w:asciiTheme="majorHAnsi" w:eastAsia="Calibri" w:hAnsiTheme="majorHAnsi" w:cstheme="majorHAnsi"/>
                              </w:rPr>
                              <w:t>LCL Gestion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 </w:t>
                            </w:r>
                            <w:r w:rsidR="00DD6942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- 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90, Boulevard Pasteur </w:t>
                            </w:r>
                            <w:r w:rsidR="00DD6942" w:rsidRPr="00FB3736">
                              <w:rPr>
                                <w:rFonts w:asciiTheme="majorHAnsi" w:eastAsia="Calibri" w:hAnsiTheme="majorHAnsi" w:cstheme="majorHAnsi"/>
                              </w:rPr>
                              <w:t xml:space="preserve">- </w:t>
                            </w:r>
                            <w:r w:rsidRPr="00FB3736">
                              <w:rPr>
                                <w:rFonts w:asciiTheme="majorHAnsi" w:eastAsia="Calibri" w:hAnsiTheme="majorHAnsi" w:cstheme="majorHAnsi"/>
                              </w:rPr>
                              <w:t>75015 Paris.</w:t>
                            </w:r>
                          </w:p>
                          <w:p w14:paraId="2FA2F0D9" w14:textId="77777777" w:rsidR="000A3244" w:rsidRPr="00FB3736" w:rsidRDefault="000A3244" w:rsidP="00C23304">
                            <w:pPr>
                              <w:autoSpaceDE w:val="0"/>
                              <w:autoSpaceDN w:val="0"/>
                              <w:adjustRightInd w:val="0"/>
                              <w:spacing w:line="22" w:lineRule="atLeast"/>
                              <w:jc w:val="both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1F8B29C3" w14:textId="0922C57D" w:rsidR="001947A1" w:rsidRPr="00FB3736" w:rsidRDefault="000A3244" w:rsidP="00C2330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B3736">
                              <w:rPr>
                                <w:rFonts w:asciiTheme="majorHAnsi" w:hAnsiTheme="majorHAnsi" w:cstheme="majorHAnsi"/>
                                <w:lang w:val="x-none"/>
                              </w:rPr>
                              <w:t>Votre conseiller habituel se tient à votre disposition pour tout complément d’information.</w:t>
                            </w:r>
                          </w:p>
                          <w:p w14:paraId="1F8B29C4" w14:textId="77777777" w:rsidR="001947A1" w:rsidRPr="00FB3736" w:rsidRDefault="001947A1" w:rsidP="001947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1F8B29C5" w14:textId="77777777" w:rsidR="001947A1" w:rsidRPr="00FB3736" w:rsidRDefault="001947A1" w:rsidP="001947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1F8B29C6" w14:textId="77777777" w:rsidR="001947A1" w:rsidRPr="00FB3736" w:rsidRDefault="001947A1" w:rsidP="001947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1F8B29C7" w14:textId="77777777" w:rsidR="001947A1" w:rsidRPr="00FB3736" w:rsidRDefault="001947A1" w:rsidP="001947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1F8B29C8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9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A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B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C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D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E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CF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0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1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2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3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4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5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6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7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8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9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A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8B29DB" w14:textId="77777777" w:rsidR="001947A1" w:rsidRDefault="001947A1" w:rsidP="001947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2987" id="Zone de texte 2" o:spid="_x0000_s1027" type="#_x0000_t202" style="position:absolute;margin-left:-109.85pt;margin-top:12.4pt;width:530.05pt;height:5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" stroked="f">
                <v:stroke dashstyle="1 1"/>
                <v:textbox>
                  <w:txbxContent>
                    <w:p w14:paraId="3E093821" w14:textId="07638EA9" w:rsidR="001C49A2" w:rsidRDefault="00591CA7" w:rsidP="001C49A2">
                      <w:pPr>
                        <w:jc w:val="both"/>
                        <w:rPr>
                          <w:rFonts w:asciiTheme="majorHAnsi" w:hAnsiTheme="majorHAnsi" w:cs="Calibri"/>
                        </w:rPr>
                      </w:pPr>
                      <w:r w:rsidRPr="00FB3736">
                        <w:rPr>
                          <w:rFonts w:asciiTheme="majorHAnsi" w:hAnsiTheme="majorHAnsi" w:cstheme="majorHAnsi"/>
                        </w:rPr>
                        <w:t xml:space="preserve">Les </w:t>
                      </w:r>
                      <w:r w:rsidR="001C49A2">
                        <w:rPr>
                          <w:rFonts w:asciiTheme="majorHAnsi" w:hAnsiTheme="majorHAnsi" w:cstheme="majorHAnsi"/>
                        </w:rPr>
                        <w:t>actionnaires de la SICAV</w:t>
                      </w:r>
                      <w:r w:rsidRPr="00FB373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FB3736" w:rsidRPr="00FB3736">
                        <w:rPr>
                          <w:rFonts w:asciiTheme="majorHAnsi" w:hAnsiTheme="majorHAnsi" w:cstheme="majorHAnsi"/>
                        </w:rPr>
                        <w:t xml:space="preserve">LCL </w:t>
                      </w:r>
                      <w:r w:rsidR="001C49A2">
                        <w:rPr>
                          <w:rFonts w:asciiTheme="majorHAnsi" w:hAnsiTheme="majorHAnsi" w:cstheme="majorHAnsi"/>
                        </w:rPr>
                        <w:t>OBLIGATIONS EURO</w:t>
                      </w:r>
                      <w:r w:rsidR="00590B01" w:rsidRPr="00FB373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FB3736">
                        <w:rPr>
                          <w:rFonts w:asciiTheme="majorHAnsi" w:hAnsiTheme="majorHAnsi" w:cstheme="majorHAnsi"/>
                        </w:rPr>
                        <w:t>(</w:t>
                      </w:r>
                      <w:hyperlink r:id="rId16" w:tgtFrame="_blank" w:history="1">
                        <w:r w:rsidR="001C49A2" w:rsidRPr="001C49A2">
                          <w:rPr>
                            <w:rFonts w:asciiTheme="majorHAnsi" w:hAnsiTheme="majorHAnsi" w:cstheme="majorHAnsi"/>
                          </w:rPr>
                          <w:t>FR0000018855</w:t>
                        </w:r>
                      </w:hyperlink>
                      <w:r w:rsidR="00FB3736" w:rsidRPr="001C49A2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Pr="00FB3736">
                        <w:rPr>
                          <w:rFonts w:asciiTheme="majorHAnsi" w:hAnsiTheme="majorHAnsi" w:cstheme="majorHAnsi"/>
                        </w:rPr>
                        <w:t xml:space="preserve">géré par la société de gestion </w:t>
                      </w:r>
                      <w:proofErr w:type="spellStart"/>
                      <w:r w:rsidRPr="00FB3736">
                        <w:rPr>
                          <w:rFonts w:asciiTheme="majorHAnsi" w:hAnsiTheme="majorHAnsi" w:cstheme="majorHAnsi"/>
                        </w:rPr>
                        <w:t>Amundi</w:t>
                      </w:r>
                      <w:proofErr w:type="spellEnd"/>
                      <w:r w:rsidRPr="00FB373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FB3736">
                        <w:rPr>
                          <w:rFonts w:asciiTheme="majorHAnsi" w:hAnsiTheme="majorHAnsi" w:cstheme="majorHAnsi"/>
                        </w:rPr>
                        <w:t>Asset</w:t>
                      </w:r>
                      <w:proofErr w:type="spellEnd"/>
                      <w:r w:rsidRPr="00FB3736">
                        <w:rPr>
                          <w:rFonts w:asciiTheme="majorHAnsi" w:hAnsiTheme="majorHAnsi" w:cstheme="majorHAnsi"/>
                        </w:rPr>
                        <w:t xml:space="preserve"> Management, </w:t>
                      </w:r>
                      <w:r w:rsidR="001C49A2" w:rsidRPr="00C23304">
                        <w:rPr>
                          <w:rFonts w:asciiTheme="majorHAnsi" w:hAnsiTheme="majorHAnsi" w:cs="Calibri"/>
                        </w:rPr>
                        <w:t>sont informés de</w:t>
                      </w:r>
                      <w:r w:rsidR="001C49A2">
                        <w:rPr>
                          <w:rFonts w:asciiTheme="majorHAnsi" w:hAnsiTheme="majorHAnsi" w:cs="Calibri"/>
                        </w:rPr>
                        <w:t xml:space="preserve">s </w:t>
                      </w:r>
                      <w:r w:rsidR="001C49A2" w:rsidRPr="00C23304">
                        <w:rPr>
                          <w:rFonts w:asciiTheme="majorHAnsi" w:hAnsiTheme="majorHAnsi" w:cs="Calibri"/>
                        </w:rPr>
                        <w:t>modification</w:t>
                      </w:r>
                      <w:r w:rsidR="001C49A2">
                        <w:rPr>
                          <w:rFonts w:asciiTheme="majorHAnsi" w:hAnsiTheme="majorHAnsi" w:cs="Calibri"/>
                        </w:rPr>
                        <w:t>s</w:t>
                      </w:r>
                      <w:r w:rsidR="001C49A2" w:rsidRPr="00C23304">
                        <w:rPr>
                          <w:rFonts w:asciiTheme="majorHAnsi" w:hAnsiTheme="majorHAnsi" w:cs="Calibri"/>
                        </w:rPr>
                        <w:t xml:space="preserve"> </w:t>
                      </w:r>
                      <w:r w:rsidR="001C49A2">
                        <w:rPr>
                          <w:rFonts w:asciiTheme="majorHAnsi" w:hAnsiTheme="majorHAnsi" w:cs="Calibri"/>
                        </w:rPr>
                        <w:t xml:space="preserve">suivantes à compter </w:t>
                      </w:r>
                      <w:r w:rsidR="001C49A2" w:rsidRPr="001E5C16">
                        <w:rPr>
                          <w:rFonts w:asciiTheme="majorHAnsi" w:hAnsiTheme="majorHAnsi" w:cs="Calibri"/>
                        </w:rPr>
                        <w:t xml:space="preserve">du </w:t>
                      </w:r>
                      <w:r w:rsidR="00486F2B">
                        <w:rPr>
                          <w:rFonts w:asciiTheme="majorHAnsi" w:hAnsiTheme="majorHAnsi" w:cs="Calibri"/>
                          <w:highlight w:val="yellow"/>
                        </w:rPr>
                        <w:t>05/07</w:t>
                      </w:r>
                      <w:r w:rsidR="001C49A2" w:rsidRPr="001C49A2">
                        <w:rPr>
                          <w:rFonts w:asciiTheme="majorHAnsi" w:hAnsiTheme="majorHAnsi" w:cs="Calibri"/>
                          <w:highlight w:val="yellow"/>
                        </w:rPr>
                        <w:t>/2019</w:t>
                      </w:r>
                      <w:r w:rsidR="001C49A2">
                        <w:rPr>
                          <w:rFonts w:asciiTheme="majorHAnsi" w:hAnsiTheme="majorHAnsi" w:cs="Calibri"/>
                        </w:rPr>
                        <w:t xml:space="preserve"> : </w:t>
                      </w:r>
                    </w:p>
                    <w:p w14:paraId="3FDCDBC6" w14:textId="77777777" w:rsidR="001C49A2" w:rsidRDefault="001C49A2" w:rsidP="00FB373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3344B22A" w14:textId="052E80A2" w:rsidR="00FB3736" w:rsidRPr="00FB3736" w:rsidRDefault="001C49A2" w:rsidP="00FB373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A compter de cette date, la méthode de calcul du ratio du risque global changera. La méthode de l’Engagement sera adoptée en lieu et place de la méthode de la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VaR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relative.</w:t>
                      </w:r>
                    </w:p>
                    <w:p w14:paraId="1926AACC" w14:textId="77777777" w:rsidR="007571B9" w:rsidRPr="00FB3736" w:rsidRDefault="007571B9" w:rsidP="00C23304">
                      <w:pPr>
                        <w:jc w:val="both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1268AFDA" w14:textId="4B946B01" w:rsidR="000A3244" w:rsidRPr="00FB3736" w:rsidRDefault="000A3244" w:rsidP="00C23304">
                      <w:pPr>
                        <w:jc w:val="both"/>
                        <w:rPr>
                          <w:rFonts w:asciiTheme="majorHAnsi" w:eastAsia="Calibri" w:hAnsiTheme="majorHAnsi" w:cstheme="majorHAnsi"/>
                        </w:rPr>
                      </w:pP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Les autres caractéristiques </w:t>
                      </w:r>
                      <w:r w:rsidR="001C49A2">
                        <w:rPr>
                          <w:rFonts w:asciiTheme="majorHAnsi" w:eastAsia="Calibri" w:hAnsiTheme="majorHAnsi" w:cstheme="majorHAnsi"/>
                        </w:rPr>
                        <w:t>de la SICAV</w:t>
                      </w:r>
                      <w:r w:rsidR="00FB3736" w:rsidRPr="00FB3736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="001C49A2" w:rsidRPr="00FB3736">
                        <w:rPr>
                          <w:rFonts w:asciiTheme="majorHAnsi" w:hAnsiTheme="majorHAnsi" w:cstheme="majorHAnsi"/>
                        </w:rPr>
                        <w:t xml:space="preserve">LCL </w:t>
                      </w:r>
                      <w:r w:rsidR="001C49A2">
                        <w:rPr>
                          <w:rFonts w:asciiTheme="majorHAnsi" w:hAnsiTheme="majorHAnsi" w:cstheme="majorHAnsi"/>
                        </w:rPr>
                        <w:t>OBLIGATIONS EURO</w:t>
                      </w:r>
                      <w:r w:rsidR="001C49A2" w:rsidRPr="00FB373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>demeurent inchangées.</w:t>
                      </w:r>
                    </w:p>
                    <w:p w14:paraId="38B14D67" w14:textId="77777777" w:rsidR="0018482A" w:rsidRPr="00FB3736" w:rsidRDefault="0018482A" w:rsidP="00C23304">
                      <w:pPr>
                        <w:jc w:val="both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05648060" w14:textId="310B6187" w:rsidR="000A3244" w:rsidRPr="00FB3736" w:rsidRDefault="000A3244" w:rsidP="00C23304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FB3736">
                        <w:rPr>
                          <w:rFonts w:asciiTheme="majorHAnsi" w:eastAsia="Calibri" w:hAnsiTheme="majorHAnsi" w:cstheme="majorHAnsi"/>
                        </w:rPr>
                        <w:t>Ce</w:t>
                      </w:r>
                      <w:r w:rsidR="007571B9" w:rsidRPr="00FB3736">
                        <w:rPr>
                          <w:rFonts w:asciiTheme="majorHAnsi" w:eastAsia="Calibri" w:hAnsiTheme="majorHAnsi" w:cstheme="majorHAnsi"/>
                        </w:rPr>
                        <w:t>s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changement</w:t>
                      </w:r>
                      <w:r w:rsidR="007571B9" w:rsidRPr="00FB3736">
                        <w:rPr>
                          <w:rFonts w:asciiTheme="majorHAnsi" w:eastAsia="Calibri" w:hAnsiTheme="majorHAnsi" w:cstheme="majorHAnsi"/>
                        </w:rPr>
                        <w:t>s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n’implique</w:t>
                      </w:r>
                      <w:r w:rsidR="007571B9" w:rsidRPr="00FB3736">
                        <w:rPr>
                          <w:rFonts w:asciiTheme="majorHAnsi" w:eastAsia="Calibri" w:hAnsiTheme="majorHAnsi" w:cstheme="majorHAnsi"/>
                        </w:rPr>
                        <w:t>nt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aucune démarche spécifique de votre part et </w:t>
                      </w:r>
                      <w:r w:rsidR="007571B9" w:rsidRPr="00FB3736">
                        <w:rPr>
                          <w:rFonts w:asciiTheme="majorHAnsi" w:hAnsiTheme="majorHAnsi" w:cstheme="majorHAnsi"/>
                        </w:rPr>
                        <w:t xml:space="preserve">n’ont </w:t>
                      </w:r>
                      <w:r w:rsidR="0072128F" w:rsidRPr="00FB3736">
                        <w:rPr>
                          <w:rFonts w:asciiTheme="majorHAnsi" w:hAnsiTheme="majorHAnsi" w:cstheme="majorHAnsi"/>
                        </w:rPr>
                        <w:t>aucun impact sur votre OPCVM que ce soit en termes d’objectif de gestion, de profil rendement/risque</w:t>
                      </w:r>
                      <w:r w:rsidR="005551B7" w:rsidRPr="00FB3736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04F33CA4" w14:textId="77777777" w:rsidR="0018482A" w:rsidRPr="00FB3736" w:rsidRDefault="0018482A" w:rsidP="00C23304">
                      <w:pPr>
                        <w:jc w:val="both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67B1EB76" w14:textId="7C8BCFB3" w:rsidR="000A3244" w:rsidRPr="00FB3736" w:rsidRDefault="000A3244" w:rsidP="00C23304">
                      <w:pPr>
                        <w:autoSpaceDE w:val="0"/>
                        <w:autoSpaceDN w:val="0"/>
                        <w:adjustRightInd w:val="0"/>
                        <w:spacing w:line="22" w:lineRule="atLeast"/>
                        <w:jc w:val="both"/>
                        <w:rPr>
                          <w:rFonts w:asciiTheme="majorHAnsi" w:eastAsia="Calibri" w:hAnsiTheme="majorHAnsi" w:cstheme="majorHAnsi"/>
                        </w:rPr>
                      </w:pP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Le Document d’Informations Clés pour l’Investisseur (DICI) est disponible sur le site internet </w:t>
                      </w:r>
                      <w:r w:rsidR="00FB3736" w:rsidRPr="00FB3736">
                        <w:rPr>
                          <w:rFonts w:asciiTheme="majorHAnsi" w:hAnsiTheme="majorHAnsi" w:cstheme="majorHAnsi"/>
                        </w:rPr>
                        <w:t>www.sicavetfcp.lcl.fr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. </w:t>
                      </w:r>
                      <w:r w:rsidR="00D70AA3" w:rsidRPr="00FB3736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>Le prospectus</w:t>
                      </w:r>
                      <w:r w:rsidR="001C49A2">
                        <w:rPr>
                          <w:rFonts w:asciiTheme="majorHAnsi" w:eastAsia="Calibri" w:hAnsiTheme="majorHAnsi" w:cstheme="majorHAnsi"/>
                        </w:rPr>
                        <w:t xml:space="preserve"> et le règlement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="00FB3736" w:rsidRPr="00FB3736">
                        <w:rPr>
                          <w:rFonts w:asciiTheme="majorHAnsi" w:eastAsia="Calibri" w:hAnsiTheme="majorHAnsi" w:cstheme="majorHAnsi"/>
                        </w:rPr>
                        <w:t xml:space="preserve">de </w:t>
                      </w:r>
                      <w:r w:rsidR="001C49A2" w:rsidRPr="00FB3736">
                        <w:rPr>
                          <w:rFonts w:asciiTheme="majorHAnsi" w:hAnsiTheme="majorHAnsi" w:cstheme="majorHAnsi"/>
                        </w:rPr>
                        <w:t xml:space="preserve">LCL </w:t>
                      </w:r>
                      <w:r w:rsidR="001C49A2">
                        <w:rPr>
                          <w:rFonts w:asciiTheme="majorHAnsi" w:hAnsiTheme="majorHAnsi" w:cstheme="majorHAnsi"/>
                        </w:rPr>
                        <w:t>OBLIGATIONS EURO</w:t>
                      </w:r>
                      <w:r w:rsidR="00FB3736" w:rsidRPr="00FB3736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>vous ser</w:t>
                      </w:r>
                      <w:r w:rsidR="00FB3736" w:rsidRPr="00FB3736">
                        <w:rPr>
                          <w:rFonts w:asciiTheme="majorHAnsi" w:eastAsia="Calibri" w:hAnsiTheme="majorHAnsi" w:cstheme="majorHAnsi"/>
                        </w:rPr>
                        <w:t>ont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adressé</w:t>
                      </w:r>
                      <w:r w:rsidR="00FB3736" w:rsidRPr="00FB3736">
                        <w:rPr>
                          <w:rFonts w:asciiTheme="majorHAnsi" w:eastAsia="Calibri" w:hAnsiTheme="majorHAnsi" w:cstheme="majorHAnsi"/>
                        </w:rPr>
                        <w:t>s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sur simple demande écrite à l’adresse suivante : AMUNDI ASSET MANAGEMENT </w:t>
                      </w:r>
                      <w:r w:rsidR="0049166A">
                        <w:rPr>
                          <w:rFonts w:asciiTheme="majorHAnsi" w:eastAsia="Calibri" w:hAnsiTheme="majorHAnsi" w:cstheme="majorHAnsi"/>
                        </w:rPr>
                        <w:t>-</w:t>
                      </w:r>
                      <w:r w:rsidR="00DD6942" w:rsidRPr="00FB3736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="00FB3736" w:rsidRPr="00FB3736">
                        <w:rPr>
                          <w:rFonts w:asciiTheme="majorHAnsi" w:eastAsia="Calibri" w:hAnsiTheme="majorHAnsi" w:cstheme="majorHAnsi"/>
                        </w:rPr>
                        <w:t>LCL Gestion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 </w:t>
                      </w:r>
                      <w:r w:rsidR="00DD6942" w:rsidRPr="00FB3736">
                        <w:rPr>
                          <w:rFonts w:asciiTheme="majorHAnsi" w:eastAsia="Calibri" w:hAnsiTheme="majorHAnsi" w:cstheme="majorHAnsi"/>
                        </w:rPr>
                        <w:t xml:space="preserve">- 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 xml:space="preserve">90, Boulevard Pasteur </w:t>
                      </w:r>
                      <w:r w:rsidR="00DD6942" w:rsidRPr="00FB3736">
                        <w:rPr>
                          <w:rFonts w:asciiTheme="majorHAnsi" w:eastAsia="Calibri" w:hAnsiTheme="majorHAnsi" w:cstheme="majorHAnsi"/>
                        </w:rPr>
                        <w:t xml:space="preserve">- </w:t>
                      </w:r>
                      <w:r w:rsidRPr="00FB3736">
                        <w:rPr>
                          <w:rFonts w:asciiTheme="majorHAnsi" w:eastAsia="Calibri" w:hAnsiTheme="majorHAnsi" w:cstheme="majorHAnsi"/>
                        </w:rPr>
                        <w:t>75015 Paris.</w:t>
                      </w:r>
                    </w:p>
                    <w:p w14:paraId="2FA2F0D9" w14:textId="77777777" w:rsidR="000A3244" w:rsidRPr="00FB3736" w:rsidRDefault="000A3244" w:rsidP="00C23304">
                      <w:pPr>
                        <w:autoSpaceDE w:val="0"/>
                        <w:autoSpaceDN w:val="0"/>
                        <w:adjustRightInd w:val="0"/>
                        <w:spacing w:line="22" w:lineRule="atLeast"/>
                        <w:jc w:val="both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1F8B29C3" w14:textId="0922C57D" w:rsidR="001947A1" w:rsidRPr="00FB3736" w:rsidRDefault="000A3244" w:rsidP="00C23304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B3736">
                        <w:rPr>
                          <w:rFonts w:asciiTheme="majorHAnsi" w:hAnsiTheme="majorHAnsi" w:cstheme="majorHAnsi"/>
                          <w:lang w:val="x-none"/>
                        </w:rPr>
                        <w:t>Votre conseiller habituel se tient à votre disposition pour tout complément d’information.</w:t>
                      </w:r>
                    </w:p>
                    <w:p w14:paraId="1F8B29C4" w14:textId="77777777" w:rsidR="001947A1" w:rsidRPr="00FB3736" w:rsidRDefault="001947A1" w:rsidP="001947A1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1F8B29C5" w14:textId="77777777" w:rsidR="001947A1" w:rsidRPr="00FB3736" w:rsidRDefault="001947A1" w:rsidP="001947A1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1F8B29C6" w14:textId="77777777" w:rsidR="001947A1" w:rsidRPr="00FB3736" w:rsidRDefault="001947A1" w:rsidP="001947A1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1F8B29C7" w14:textId="77777777" w:rsidR="001947A1" w:rsidRPr="00FB3736" w:rsidRDefault="001947A1" w:rsidP="001947A1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1F8B29C8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9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A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B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C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D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E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CF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0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1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2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3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4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5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6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7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8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9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A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  <w:p w14:paraId="1F8B29DB" w14:textId="77777777" w:rsidR="001947A1" w:rsidRDefault="001947A1" w:rsidP="001947A1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6184">
      <w:type w:val="continuous"/>
      <w:pgSz w:w="11906" w:h="16838"/>
      <w:pgMar w:top="680" w:right="680" w:bottom="851" w:left="2863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848E" w14:textId="77777777" w:rsidR="00612C39" w:rsidRDefault="00612C39">
      <w:r>
        <w:separator/>
      </w:r>
    </w:p>
  </w:endnote>
  <w:endnote w:type="continuationSeparator" w:id="0">
    <w:p w14:paraId="0B96FC1E" w14:textId="77777777" w:rsidR="00612C39" w:rsidRDefault="006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A7" w14:textId="77777777" w:rsidR="00AD3745" w:rsidRDefault="00AD3745">
    <w:pPr>
      <w:pStyle w:val="Pieddepage"/>
      <w:spacing w:line="260" w:lineRule="exact"/>
    </w:pPr>
  </w:p>
  <w:p w14:paraId="1F8B29A8" w14:textId="77777777" w:rsidR="00AD3745" w:rsidRDefault="00AD3745">
    <w:pPr>
      <w:pStyle w:val="Pieddepage"/>
      <w:spacing w:line="260" w:lineRule="exact"/>
    </w:pPr>
  </w:p>
  <w:p w14:paraId="1F8B29A9" w14:textId="77777777" w:rsidR="00AD3745" w:rsidRDefault="00AD3745">
    <w:pPr>
      <w:pStyle w:val="Pieddepage"/>
      <w:spacing w:line="260" w:lineRule="exact"/>
    </w:pPr>
  </w:p>
  <w:p w14:paraId="1F8B29AA" w14:textId="77777777" w:rsidR="00AD3745" w:rsidRDefault="00AD3745">
    <w:pPr>
      <w:pStyle w:val="Pieddepage"/>
      <w:spacing w:line="260" w:lineRule="exact"/>
    </w:pPr>
  </w:p>
  <w:p w14:paraId="1F8B29AB" w14:textId="77777777" w:rsidR="00AD3745" w:rsidRDefault="00AD3745">
    <w:pPr>
      <w:pStyle w:val="Pieddepage"/>
      <w:spacing w:line="260" w:lineRule="exact"/>
    </w:pPr>
  </w:p>
  <w:p w14:paraId="1F8B29AC" w14:textId="77777777" w:rsidR="00AD3745" w:rsidRDefault="00AD3745">
    <w:pPr>
      <w:pStyle w:val="Pieddepage"/>
      <w:spacing w:line="260" w:lineRule="exact"/>
    </w:pPr>
  </w:p>
  <w:p w14:paraId="1F8B29AD" w14:textId="77777777" w:rsidR="00AD3745" w:rsidRDefault="00AD3745">
    <w:pPr>
      <w:pStyle w:val="Pieddepage"/>
      <w:spacing w:line="260" w:lineRule="exact"/>
    </w:pPr>
  </w:p>
  <w:p w14:paraId="1F8B29AE" w14:textId="77777777" w:rsidR="00AD3745" w:rsidRDefault="00AD3745">
    <w:pPr>
      <w:pStyle w:val="Pieddepage"/>
      <w:spacing w:line="260" w:lineRule="exact"/>
    </w:pPr>
  </w:p>
  <w:p w14:paraId="1F8B29AF" w14:textId="77777777" w:rsidR="00AD3745" w:rsidRDefault="00AD3745">
    <w:pPr>
      <w:pStyle w:val="Pieddepage"/>
      <w:spacing w:line="260" w:lineRule="exact"/>
    </w:pPr>
  </w:p>
  <w:p w14:paraId="1F8B29B0" w14:textId="77777777" w:rsidR="00AD3745" w:rsidRDefault="00AD3745">
    <w:pPr>
      <w:pStyle w:val="Pieddepage"/>
      <w:spacing w:line="260" w:lineRule="exact"/>
    </w:pPr>
  </w:p>
  <w:p w14:paraId="1F8B29B1" w14:textId="77777777" w:rsidR="00AD3745" w:rsidRDefault="00AD3745">
    <w:pPr>
      <w:pStyle w:val="Pieddepage"/>
      <w:spacing w:line="260" w:lineRule="exact"/>
    </w:pPr>
  </w:p>
  <w:p w14:paraId="1F8B29B2" w14:textId="77777777" w:rsidR="00AD3745" w:rsidRDefault="00AD3745">
    <w:pPr>
      <w:pStyle w:val="Pieddepage"/>
      <w:spacing w:line="260" w:lineRule="exact"/>
    </w:pPr>
  </w:p>
  <w:p w14:paraId="1F8B29B3" w14:textId="77777777" w:rsidR="00AD3745" w:rsidRDefault="00AD3745">
    <w:pPr>
      <w:pStyle w:val="Pieddepage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E8A9" w14:textId="77777777" w:rsidR="00612C39" w:rsidRDefault="00612C39">
      <w:r>
        <w:separator/>
      </w:r>
    </w:p>
  </w:footnote>
  <w:footnote w:type="continuationSeparator" w:id="0">
    <w:p w14:paraId="3FA1113F" w14:textId="77777777" w:rsidR="00612C39" w:rsidRDefault="0061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8D" w14:textId="77777777" w:rsidR="00AD3745" w:rsidRDefault="00AD374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F8B298E" w14:textId="77777777" w:rsidR="00AD3745" w:rsidRDefault="00AD374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8F" w14:textId="77777777" w:rsidR="00AD3745" w:rsidRDefault="00225644">
    <w:pPr>
      <w:pStyle w:val="En-tte"/>
      <w:spacing w:line="260" w:lineRule="exact"/>
      <w:ind w:right="360"/>
    </w:pPr>
    <w:r>
      <w:rPr>
        <w:noProof/>
        <w:lang w:eastAsia="zh-CN"/>
      </w:rPr>
      <w:drawing>
        <wp:anchor distT="0" distB="0" distL="114300" distR="114300" simplePos="0" relativeHeight="251662848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B2990" w14:textId="77777777" w:rsidR="00AD3745" w:rsidRDefault="00AD3745">
    <w:pPr>
      <w:pStyle w:val="En-tte"/>
      <w:spacing w:line="260" w:lineRule="exact"/>
    </w:pPr>
  </w:p>
  <w:p w14:paraId="1F8B2991" w14:textId="77777777" w:rsidR="00AD3745" w:rsidRDefault="00AD3745">
    <w:pPr>
      <w:pStyle w:val="En-tte"/>
      <w:spacing w:line="260" w:lineRule="exact"/>
    </w:pPr>
  </w:p>
  <w:p w14:paraId="1F8B2992" w14:textId="77777777" w:rsidR="00AD3745" w:rsidRDefault="00AD3745">
    <w:pPr>
      <w:pStyle w:val="En-tte"/>
      <w:spacing w:line="260" w:lineRule="exact"/>
    </w:pPr>
  </w:p>
  <w:p w14:paraId="1F8B2993" w14:textId="77777777" w:rsidR="00AD3745" w:rsidRDefault="00AD3745">
    <w:pPr>
      <w:pStyle w:val="En-tte"/>
      <w:spacing w:line="260" w:lineRule="exact"/>
    </w:pPr>
  </w:p>
  <w:p w14:paraId="1F8B2994" w14:textId="77777777" w:rsidR="00AD3745" w:rsidRDefault="00AD3745">
    <w:pPr>
      <w:pStyle w:val="En-tte"/>
      <w:spacing w:line="260" w:lineRule="exact"/>
    </w:pPr>
  </w:p>
  <w:p w14:paraId="1F8B2995" w14:textId="77777777" w:rsidR="00AD3745" w:rsidRDefault="00AD3745">
    <w:pPr>
      <w:pStyle w:val="En-tte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AD3745" w14:paraId="1F8B2997" w14:textId="77777777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8B2996" w14:textId="77777777" w:rsidR="00AD3745" w:rsidRDefault="00225644">
          <w:pPr>
            <w:pStyle w:val="En-tte"/>
            <w:jc w:val="right"/>
          </w:pPr>
          <w:r>
            <w:fldChar w:fldCharType="begin"/>
          </w:r>
          <w:r>
            <w:instrText xml:space="preserve"> STYLEREF "ville" \* MERGEFORMAT </w:instrText>
          </w:r>
          <w:r>
            <w:fldChar w:fldCharType="separate"/>
          </w:r>
          <w:r w:rsidR="009D0F19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</w:tr>
    <w:tr w:rsidR="00AD3745" w14:paraId="1F8B2999" w14:textId="77777777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8B2998" w14:textId="77777777" w:rsidR="00AD3745" w:rsidRDefault="00AD3745">
          <w:pPr>
            <w:pStyle w:val="En-tte"/>
            <w:jc w:val="right"/>
          </w:pPr>
          <w: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PAGE  </w:instrText>
          </w:r>
          <w:r>
            <w:rPr>
              <w:rStyle w:val="Numrodepage"/>
            </w:rPr>
            <w:fldChar w:fldCharType="separate"/>
          </w:r>
          <w:r w:rsidR="00D86184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t xml:space="preserve"> </w:t>
          </w:r>
        </w:p>
      </w:tc>
    </w:tr>
    <w:tr w:rsidR="00AD3745" w14:paraId="1F8B299B" w14:textId="77777777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8B299A" w14:textId="77777777" w:rsidR="00AD3745" w:rsidRDefault="00AD3745">
          <w:pPr>
            <w:pStyle w:val="En-tte"/>
          </w:pPr>
        </w:p>
      </w:tc>
    </w:tr>
    <w:tr w:rsidR="00AD3745" w14:paraId="1F8B299E" w14:textId="777777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8B299C" w14:textId="77777777" w:rsidR="00AD3745" w:rsidRDefault="00AD3745">
          <w:pPr>
            <w:pStyle w:val="En-tte"/>
          </w:pPr>
          <w:r>
            <w:rPr>
              <w:b/>
            </w:rPr>
            <w:t>Objet 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F8B299D" w14:textId="77777777" w:rsidR="00AD3745" w:rsidRDefault="00225644">
          <w:pPr>
            <w:pStyle w:val="En-tte"/>
          </w:pPr>
          <w:r>
            <w:fldChar w:fldCharType="begin"/>
          </w:r>
          <w:r>
            <w:instrText xml:space="preserve"> STYLEREF "objet" \* MERGEFORMAT </w:instrText>
          </w:r>
          <w:r>
            <w:fldChar w:fldCharType="separate"/>
          </w:r>
          <w:r w:rsidR="009D0F19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</w:tr>
  </w:tbl>
  <w:p w14:paraId="1F8B299F" w14:textId="77777777" w:rsidR="00AD3745" w:rsidRDefault="00AD3745">
    <w:pPr>
      <w:pStyle w:val="En-tte"/>
      <w:spacing w:line="220" w:lineRule="exact"/>
    </w:pPr>
  </w:p>
  <w:p w14:paraId="1F8B29A0" w14:textId="77777777" w:rsidR="00AD3745" w:rsidRDefault="00AD3745">
    <w:pPr>
      <w:pStyle w:val="Filet"/>
    </w:pPr>
  </w:p>
  <w:p w14:paraId="1F8B29A1" w14:textId="77777777" w:rsidR="00AD3745" w:rsidRDefault="00AD3745">
    <w:pPr>
      <w:pStyle w:val="En-tte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A4" w14:textId="77777777" w:rsidR="00AD3745" w:rsidRDefault="00AD3745">
    <w:pPr>
      <w:pStyle w:val="En-tte"/>
      <w:spacing w:line="260" w:lineRule="exact"/>
    </w:pPr>
  </w:p>
  <w:p w14:paraId="1F8B29A5" w14:textId="77777777" w:rsidR="00AD3745" w:rsidRDefault="00CE57F6">
    <w:pPr>
      <w:pStyle w:val="En-tte"/>
      <w:spacing w:line="260" w:lineRule="exact"/>
    </w:pPr>
    <w:r>
      <w:rPr>
        <w:noProof/>
        <w:lang w:eastAsia="zh-CN"/>
      </w:rPr>
      <w:drawing>
        <wp:anchor distT="0" distB="0" distL="114300" distR="114300" simplePos="0" relativeHeight="251663872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B29A6" w14:textId="77777777" w:rsidR="00AD3745" w:rsidRDefault="00AD3745">
    <w:pPr>
      <w:pStyle w:val="En-tte"/>
      <w:spacing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4"/>
    <w:rsid w:val="00002B94"/>
    <w:rsid w:val="000075E2"/>
    <w:rsid w:val="00013B7F"/>
    <w:rsid w:val="00075AFB"/>
    <w:rsid w:val="000A2F13"/>
    <w:rsid w:val="000A3244"/>
    <w:rsid w:val="000B34BD"/>
    <w:rsid w:val="000C32A0"/>
    <w:rsid w:val="000C5B39"/>
    <w:rsid w:val="000D17C3"/>
    <w:rsid w:val="00130762"/>
    <w:rsid w:val="001602EE"/>
    <w:rsid w:val="00161EF1"/>
    <w:rsid w:val="0018482A"/>
    <w:rsid w:val="00193FA4"/>
    <w:rsid w:val="001947A1"/>
    <w:rsid w:val="001952FF"/>
    <w:rsid w:val="001A3DFF"/>
    <w:rsid w:val="001A614B"/>
    <w:rsid w:val="001B7486"/>
    <w:rsid w:val="001C49A2"/>
    <w:rsid w:val="001D372E"/>
    <w:rsid w:val="001F5013"/>
    <w:rsid w:val="00225644"/>
    <w:rsid w:val="002C022D"/>
    <w:rsid w:val="002D186D"/>
    <w:rsid w:val="00310FAC"/>
    <w:rsid w:val="003329F8"/>
    <w:rsid w:val="00357717"/>
    <w:rsid w:val="00393005"/>
    <w:rsid w:val="003B1D68"/>
    <w:rsid w:val="003D5696"/>
    <w:rsid w:val="0040325B"/>
    <w:rsid w:val="00421549"/>
    <w:rsid w:val="00423A9E"/>
    <w:rsid w:val="00423F44"/>
    <w:rsid w:val="004321F3"/>
    <w:rsid w:val="004509AA"/>
    <w:rsid w:val="00460F28"/>
    <w:rsid w:val="00486F2B"/>
    <w:rsid w:val="0048737E"/>
    <w:rsid w:val="0049166A"/>
    <w:rsid w:val="00497AC8"/>
    <w:rsid w:val="004B1D0F"/>
    <w:rsid w:val="004B6B6E"/>
    <w:rsid w:val="004C4CA3"/>
    <w:rsid w:val="004F57E6"/>
    <w:rsid w:val="004F7ACB"/>
    <w:rsid w:val="00523FDA"/>
    <w:rsid w:val="005551B7"/>
    <w:rsid w:val="00582F6E"/>
    <w:rsid w:val="00585083"/>
    <w:rsid w:val="00590B01"/>
    <w:rsid w:val="00591CA7"/>
    <w:rsid w:val="005C3251"/>
    <w:rsid w:val="00612C39"/>
    <w:rsid w:val="00624C82"/>
    <w:rsid w:val="00657712"/>
    <w:rsid w:val="0066005A"/>
    <w:rsid w:val="00691A09"/>
    <w:rsid w:val="00691BFA"/>
    <w:rsid w:val="006A5D43"/>
    <w:rsid w:val="006C02BC"/>
    <w:rsid w:val="006C3051"/>
    <w:rsid w:val="006D2A07"/>
    <w:rsid w:val="00703AA7"/>
    <w:rsid w:val="00712640"/>
    <w:rsid w:val="00714810"/>
    <w:rsid w:val="0072128F"/>
    <w:rsid w:val="00735C4C"/>
    <w:rsid w:val="00743E2F"/>
    <w:rsid w:val="007571B9"/>
    <w:rsid w:val="00757FBA"/>
    <w:rsid w:val="00771758"/>
    <w:rsid w:val="007946F9"/>
    <w:rsid w:val="00794CE5"/>
    <w:rsid w:val="007A0845"/>
    <w:rsid w:val="007A680F"/>
    <w:rsid w:val="007A7400"/>
    <w:rsid w:val="007D19E5"/>
    <w:rsid w:val="007F5B9A"/>
    <w:rsid w:val="00803F26"/>
    <w:rsid w:val="008273E3"/>
    <w:rsid w:val="00842953"/>
    <w:rsid w:val="00844D64"/>
    <w:rsid w:val="008465D2"/>
    <w:rsid w:val="0085588B"/>
    <w:rsid w:val="008749ED"/>
    <w:rsid w:val="008772EE"/>
    <w:rsid w:val="008B70F8"/>
    <w:rsid w:val="008D36C4"/>
    <w:rsid w:val="008F667C"/>
    <w:rsid w:val="008F6801"/>
    <w:rsid w:val="009016C3"/>
    <w:rsid w:val="00904C37"/>
    <w:rsid w:val="00904DCB"/>
    <w:rsid w:val="00904DD8"/>
    <w:rsid w:val="00912067"/>
    <w:rsid w:val="00914592"/>
    <w:rsid w:val="0092538D"/>
    <w:rsid w:val="0093338E"/>
    <w:rsid w:val="00977D26"/>
    <w:rsid w:val="009A520B"/>
    <w:rsid w:val="009D0F19"/>
    <w:rsid w:val="009D5885"/>
    <w:rsid w:val="009E67B0"/>
    <w:rsid w:val="00A17131"/>
    <w:rsid w:val="00A46354"/>
    <w:rsid w:val="00A473F8"/>
    <w:rsid w:val="00A63253"/>
    <w:rsid w:val="00A711AA"/>
    <w:rsid w:val="00A850B9"/>
    <w:rsid w:val="00A87BFC"/>
    <w:rsid w:val="00AA70F0"/>
    <w:rsid w:val="00AA776C"/>
    <w:rsid w:val="00AB6305"/>
    <w:rsid w:val="00AB729C"/>
    <w:rsid w:val="00AD3745"/>
    <w:rsid w:val="00AF0B9E"/>
    <w:rsid w:val="00AF398F"/>
    <w:rsid w:val="00B049E0"/>
    <w:rsid w:val="00B15397"/>
    <w:rsid w:val="00B42EEA"/>
    <w:rsid w:val="00B531F4"/>
    <w:rsid w:val="00B55560"/>
    <w:rsid w:val="00B66DEA"/>
    <w:rsid w:val="00BA0C07"/>
    <w:rsid w:val="00BA0EDE"/>
    <w:rsid w:val="00BB28D5"/>
    <w:rsid w:val="00BB4E8B"/>
    <w:rsid w:val="00BC6246"/>
    <w:rsid w:val="00BE5D5A"/>
    <w:rsid w:val="00BE5F7D"/>
    <w:rsid w:val="00BF4E69"/>
    <w:rsid w:val="00C030EC"/>
    <w:rsid w:val="00C04A07"/>
    <w:rsid w:val="00C063A5"/>
    <w:rsid w:val="00C1149A"/>
    <w:rsid w:val="00C23304"/>
    <w:rsid w:val="00C2622E"/>
    <w:rsid w:val="00C47D64"/>
    <w:rsid w:val="00C54882"/>
    <w:rsid w:val="00C64972"/>
    <w:rsid w:val="00C77658"/>
    <w:rsid w:val="00C81709"/>
    <w:rsid w:val="00C93EBC"/>
    <w:rsid w:val="00CA3FFA"/>
    <w:rsid w:val="00CD0C75"/>
    <w:rsid w:val="00CD3407"/>
    <w:rsid w:val="00CE4EDD"/>
    <w:rsid w:val="00CE57F6"/>
    <w:rsid w:val="00D03393"/>
    <w:rsid w:val="00D25CA0"/>
    <w:rsid w:val="00D376F4"/>
    <w:rsid w:val="00D4019F"/>
    <w:rsid w:val="00D64BEC"/>
    <w:rsid w:val="00D70AA3"/>
    <w:rsid w:val="00D86184"/>
    <w:rsid w:val="00D90A93"/>
    <w:rsid w:val="00D90F9C"/>
    <w:rsid w:val="00DD4AC0"/>
    <w:rsid w:val="00DD6942"/>
    <w:rsid w:val="00DE5C3D"/>
    <w:rsid w:val="00DF280C"/>
    <w:rsid w:val="00E15BEE"/>
    <w:rsid w:val="00E267FF"/>
    <w:rsid w:val="00E316E7"/>
    <w:rsid w:val="00E32CC3"/>
    <w:rsid w:val="00E447EA"/>
    <w:rsid w:val="00EC0910"/>
    <w:rsid w:val="00EC4087"/>
    <w:rsid w:val="00EC7843"/>
    <w:rsid w:val="00ED5B54"/>
    <w:rsid w:val="00ED75A3"/>
    <w:rsid w:val="00EF0A33"/>
    <w:rsid w:val="00F143F5"/>
    <w:rsid w:val="00F261E7"/>
    <w:rsid w:val="00F31F70"/>
    <w:rsid w:val="00F3545F"/>
    <w:rsid w:val="00F71398"/>
    <w:rsid w:val="00F76BFE"/>
    <w:rsid w:val="00F96D62"/>
    <w:rsid w:val="00FB3736"/>
    <w:rsid w:val="00FB64D4"/>
    <w:rsid w:val="00FC2C7C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F8B2966"/>
  <w15:docId w15:val="{B7D2211B-9C5D-45F7-9F5E-43EC6489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Numrodepage">
    <w:name w:val="page number"/>
    <w:basedOn w:val="Policepardfau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Grilledutableau">
    <w:name w:val="Table Grid"/>
    <w:basedOn w:val="Tableau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7A1"/>
    <w:rPr>
      <w:rFonts w:ascii="Tahoma" w:hAnsi="Tahoma" w:cs="Tahoma"/>
      <w:sz w:val="16"/>
      <w:szCs w:val="16"/>
    </w:rPr>
  </w:style>
  <w:style w:type="character" w:styleId="Lienhypertexte">
    <w:name w:val="Hyperlink"/>
    <w:rsid w:val="00523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912067"/>
    <w:rPr>
      <w:b/>
      <w:bCs/>
    </w:rPr>
  </w:style>
  <w:style w:type="character" w:styleId="Appelnotedebasdep">
    <w:name w:val="footnote reference"/>
    <w:unhideWhenUsed/>
    <w:rsid w:val="00591CA7"/>
    <w:rPr>
      <w:vertAlign w:val="superscript"/>
    </w:rPr>
  </w:style>
  <w:style w:type="character" w:styleId="Marquedecommentaire">
    <w:name w:val="annotation reference"/>
    <w:basedOn w:val="Policepardfaut"/>
    <w:rsid w:val="004B1D0F"/>
    <w:rPr>
      <w:sz w:val="16"/>
      <w:szCs w:val="16"/>
    </w:rPr>
  </w:style>
  <w:style w:type="paragraph" w:styleId="Commentaire">
    <w:name w:val="annotation text"/>
    <w:basedOn w:val="Normal"/>
    <w:link w:val="CommentaireCar"/>
    <w:rsid w:val="004B1D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B1D0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B1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1D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undonline.intramundi.com/home_fiche?productCode=6006&amp;level=4&amp;ecran=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undonline.intramundi.com/home_fiche?productCode=6006&amp;level=4&amp;ecran=p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12</Value>
    </WAMCountry>
    <WAMNetwork xmlns="5ff1d304-0bdc-440f-9a3b-a1a9897d1047">1</WAMNetwork>
    <WAMTarget_x003a_KeyId xmlns="6b1bdb98-2ac1-4164-9ef0-c93ac4e89a2c">;</WAMTarget_x003a_KeyId>
    <WAMLanguage xmlns="5ff1d304-0bdc-440f-9a3b-a1a9897d1047">
      <Value>26</Value>
    </WAMLanguage>
    <WAMLimitations xmlns="5ff1d304-0bdc-440f-9a3b-a1a9897d1047">AF LCL OBLIGATIONS EURO</WAMLimitations>
    <WAMKeyWords xmlns="5ff1d304-0bdc-440f-9a3b-a1a9897d1047" xsi:nil="true"/>
    <WAMCountry_x005f_x003a_ISO3AId xmlns="6b1bdb98-2ac1-4164-9ef0-c93ac4e89a2c" xsi:nil="true"/>
    <WAMGedDateMiseajour xmlns="5ff1d304-0bdc-440f-9a3b-a1a9897d1047">2019-06-30T22:00:00+00:00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;12;</WAMCountryId>
    <WAMLanguageId xmlns="6b1bdb98-2ac1-4164-9ef0-c93ac4e89a2c">;26;</WAMLanguageId>
    <WAMSecure xmlns="6b1bdb98-2ac1-4164-9ef0-c93ac4e89a2c">false</WAMSecure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EDITO-23-11491</_dlc_DocId>
    <_dlc_DocIdUrl xmlns="94841811-1a9c-4da1-a619-8e197fcd64ea">
      <Url>https://community.intramundi.com/gedint/www-amundi-com/_layouts/DocIdRedir.aspx?ID=EDITO-23-11491</Url>
      <Description>EDITO-23-11491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82AD4-D350-40DD-B104-B9FB783673ED}"/>
</file>

<file path=customXml/itemProps2.xml><?xml version="1.0" encoding="utf-8"?>
<ds:datastoreItem xmlns:ds="http://schemas.openxmlformats.org/officeDocument/2006/customXml" ds:itemID="{5EE20F78-1F3D-40B6-9208-AC96142F563C}"/>
</file>

<file path=customXml/itemProps3.xml><?xml version="1.0" encoding="utf-8"?>
<ds:datastoreItem xmlns:ds="http://schemas.openxmlformats.org/officeDocument/2006/customXml" ds:itemID="{B188545B-8B77-4045-A176-BE841621C51B}"/>
</file>

<file path=customXml/itemProps4.xml><?xml version="1.0" encoding="utf-8"?>
<ds:datastoreItem xmlns:ds="http://schemas.openxmlformats.org/officeDocument/2006/customXml" ds:itemID="{AF59CC3B-2B98-43FD-A2BF-C98F836E1415}"/>
</file>

<file path=customXml/itemProps5.xml><?xml version="1.0" encoding="utf-8"?>
<ds:datastoreItem xmlns:ds="http://schemas.openxmlformats.org/officeDocument/2006/customXml" ds:itemID="{79959AF6-C027-497E-9482-62E6CD58A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 LCL OBLIGATIONS EURO</vt:lpstr>
    </vt:vector>
  </TitlesOfParts>
  <Company>Amundi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LCL OBLIGATIONS EURO</dc:title>
  <dc:creator>saturne</dc:creator>
  <cp:lastModifiedBy>Recouvreur Elise (AMUNDI)</cp:lastModifiedBy>
  <cp:revision>2</cp:revision>
  <cp:lastPrinted>2014-11-03T17:09:00Z</cp:lastPrinted>
  <dcterms:created xsi:type="dcterms:W3CDTF">2019-07-01T15:19:00Z</dcterms:created>
  <dcterms:modified xsi:type="dcterms:W3CDTF">2019-07-01T15:19:00Z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0x0101005482CDCCA041E849897F0978CFC44FDD0100D0893C80816E264B91583CDBE3B28041</vt:lpwstr>
  </property>
  <property fmtid="{D5CDD505-2E9C-101B-9397-08002B2CF9AE}" pid="3" name="_dlc_DocIdItemGuid">
    <vt:lpwstr>b188874c-5e4f-484c-b0d5-6758f0fed796</vt:lpwstr>
  </property>
</Properties>
</file>